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8F99" w14:textId="77777777" w:rsidR="00FA0D2A" w:rsidRPr="00160E58" w:rsidRDefault="00FA0D2A" w:rsidP="00FA0D2A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44D17FAF" wp14:editId="341C3687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234CDC2" w14:textId="77777777" w:rsidR="00FA0D2A" w:rsidRPr="00160E58" w:rsidRDefault="00FA0D2A" w:rsidP="00FA0D2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3EC6318A" w14:textId="77777777" w:rsidR="00FA0D2A" w:rsidRPr="00A13B54" w:rsidRDefault="00FA0D2A" w:rsidP="00FA0D2A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675F77" w14:textId="77777777" w:rsidR="00FA0D2A" w:rsidRPr="00160E58" w:rsidRDefault="00FA0D2A" w:rsidP="00FA0D2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DF9E88A" w14:textId="77777777" w:rsidR="006140ED" w:rsidRPr="00BD1413" w:rsidRDefault="006140ED" w:rsidP="006140ED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CC62B07" w14:textId="64BFD5E3" w:rsidR="00FA0D2A" w:rsidRDefault="00FA0D2A" w:rsidP="00BD1413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00497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796D7A5D" w14:textId="0388204C" w:rsidR="00FA0D2A" w:rsidRPr="003465E1" w:rsidRDefault="00FA0D2A" w:rsidP="00FA0D2A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MOTIVAČNÍ ÚČINEK PROJEKTU</w:t>
      </w:r>
    </w:p>
    <w:p w14:paraId="77FC4548" w14:textId="4674A90B" w:rsidR="00FA0D2A" w:rsidRDefault="00FA0D2A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0485E6DD" w14:textId="77777777" w:rsidR="0054498A" w:rsidRPr="003B1634" w:rsidRDefault="0054498A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23FAD2F8" w14:textId="263419C2" w:rsidR="00FA0D2A" w:rsidRPr="00537569" w:rsidRDefault="0054498A" w:rsidP="00BD1413">
      <w:pPr>
        <w:spacing w:after="0" w:line="288" w:lineRule="auto"/>
        <w:jc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74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. VÝZVA </w:t>
      </w:r>
      <w:proofErr w:type="gramStart"/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IROP - MULTIMODÁLNÍ</w:t>
      </w:r>
      <w:proofErr w:type="gramEnd"/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OSOBNÍ DOPRAVA - SC 6.1 (</w:t>
      </w:r>
      <w:r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ITI</w:t>
      </w:r>
      <w:r w:rsidR="00FA0D2A"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)</w:t>
      </w:r>
    </w:p>
    <w:p w14:paraId="0096403B" w14:textId="75C98661" w:rsidR="00FA0D2A" w:rsidRDefault="00FA0D2A" w:rsidP="00FA0D2A">
      <w:pPr>
        <w:spacing w:after="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4F352FB9" w14:textId="77777777" w:rsidR="0054498A" w:rsidRDefault="0054498A" w:rsidP="00FA0D2A">
      <w:pPr>
        <w:spacing w:after="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1F2AB795" w14:textId="77777777" w:rsidR="00FA0D2A" w:rsidRDefault="00FA0D2A" w:rsidP="00FA0D2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FA0D2A" w:rsidSect="00216924">
          <w:head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C2DD7CD" w14:textId="77777777" w:rsidR="006A53D8" w:rsidRDefault="006A53D8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</w:p>
    <w:p w14:paraId="2E8AD371" w14:textId="2DCD687A" w:rsidR="00FA0D2A" w:rsidRPr="00FA0D2A" w:rsidRDefault="00FA0D2A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Motivační účinek projekt</w:t>
      </w:r>
      <w:r w:rsidR="00FD14F9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U</w:t>
      </w: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 xml:space="preserve"> v souladu s Nařízením Komise (EU) č. 651/2014</w:t>
      </w:r>
    </w:p>
    <w:p w14:paraId="1EDE6BEC" w14:textId="3FDD3FC8" w:rsidR="00FA0D2A" w:rsidRPr="00FA0D2A" w:rsidRDefault="00FA0D2A" w:rsidP="00FA0D2A">
      <w:pPr>
        <w:spacing w:after="0" w:line="240" w:lineRule="auto"/>
        <w:jc w:val="center"/>
        <w:rPr>
          <w:rFonts w:ascii="Arial" w:hAnsi="Arial" w:cs="Arial"/>
        </w:rPr>
      </w:pPr>
      <w:r w:rsidRPr="00FA0D2A">
        <w:rPr>
          <w:rFonts w:ascii="Arial" w:hAnsi="Arial" w:cs="Arial"/>
        </w:rPr>
        <w:t>ze dne 17. června 2014, kterým se v souladu s články 107 a 108 Smlouvy prohlašují určité kategorie podpory za slučitelné s vnitřním trhem</w:t>
      </w:r>
      <w:r w:rsidR="006A53D8">
        <w:rPr>
          <w:rFonts w:ascii="Arial" w:hAnsi="Arial" w:cs="Arial"/>
        </w:rPr>
        <w:t xml:space="preserve"> (dále jen „nařízení Komise (EU)</w:t>
      </w:r>
      <w:r w:rsidR="00664B38">
        <w:rPr>
          <w:rFonts w:ascii="Arial" w:hAnsi="Arial" w:cs="Arial"/>
        </w:rPr>
        <w:br/>
      </w:r>
      <w:r w:rsidR="006A53D8">
        <w:rPr>
          <w:rFonts w:ascii="Arial" w:hAnsi="Arial" w:cs="Arial"/>
        </w:rPr>
        <w:t xml:space="preserve">č. 651/2014“) </w:t>
      </w:r>
      <w:r w:rsidRPr="00FA0D2A">
        <w:rPr>
          <w:rFonts w:ascii="Arial" w:hAnsi="Arial" w:cs="Arial"/>
        </w:rPr>
        <w:t xml:space="preserve"> </w:t>
      </w:r>
    </w:p>
    <w:p w14:paraId="55DEF65A" w14:textId="77777777" w:rsidR="00FA0D2A" w:rsidRPr="002A460B" w:rsidRDefault="00FA0D2A" w:rsidP="00FA0D2A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4225CD48" w14:textId="0287D6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Motivační účinek je jedním z rozhodujících faktorů pro přidělení požadované podpory. V případě nepřítomnosti motivačního účinku je podpora neslučitelná s vnitřním trhem</w:t>
      </w:r>
      <w:r w:rsidR="004D14E4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a</w:t>
      </w:r>
      <w:r w:rsidR="00221116">
        <w:rPr>
          <w:rFonts w:ascii="Arial" w:hAnsi="Arial" w:cs="Arial"/>
        </w:rPr>
        <w:t> </w:t>
      </w:r>
      <w:r w:rsidRPr="00FA0D2A">
        <w:rPr>
          <w:rFonts w:ascii="Arial" w:hAnsi="Arial" w:cs="Arial"/>
        </w:rPr>
        <w:t xml:space="preserve">nemůže být proto schválena. </w:t>
      </w:r>
    </w:p>
    <w:p w14:paraId="3F41213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0A32D1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Podpora vykazuje motivační účinek, jestliže příjemce zahájí další činnosti, které přispívají k rozvoji dané oblasti a které by bez poskytnutí podpory nezahájil či nevykonával nebo by ji zahájil či vykonával omezeným nebo jiným způsobem nebo v jiném umístění. Podpora nesmí subvencovat náklady na činnost, které by příjemci vznikly v každém případě, a nesmí vyrovnávat běžná rizika činnosti. </w:t>
      </w:r>
    </w:p>
    <w:p w14:paraId="4F04BDF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3F88FF1" w14:textId="52DFB1A0" w:rsidR="00FA0D2A" w:rsidRPr="00FA0D2A" w:rsidRDefault="006A53D8" w:rsidP="00FA0D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 čl. 6 nařízení Komise (EU) č. 651/2014 má p</w:t>
      </w:r>
      <w:r w:rsidR="00FA0D2A" w:rsidRPr="00FA0D2A">
        <w:rPr>
          <w:rFonts w:ascii="Arial" w:hAnsi="Arial" w:cs="Arial"/>
        </w:rPr>
        <w:t xml:space="preserve">odpora motivační účinek, pokud příjemce předložil žádost o podporu před zahájením prací na projektu nebo činnosti. </w:t>
      </w:r>
    </w:p>
    <w:p w14:paraId="71B6B08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89FB3D8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UPOZORNĚNÍ</w:t>
      </w:r>
    </w:p>
    <w:p w14:paraId="71C315F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642DD2C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CFB41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5E08FFF5" w14:textId="6AAE2ED3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Při volbě postupu zadání zakázky zadavatel musí zohlednit nejen pravidla pro zadávání zakázek IROP (zákon č. 134/2016 Sb., o zadávání veřejných zakázek, ve znění pozdějších předpisů), ale i podmínku dodržení motivačního účinku.</w:t>
      </w:r>
    </w:p>
    <w:p w14:paraId="1A50374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265F132" w14:textId="77777777" w:rsidR="00FA0D2A" w:rsidRPr="00221116" w:rsidRDefault="00FA0D2A" w:rsidP="006A53D8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Zahájení zadávacího/výběrového řízení před podáním žádosti o podporu</w:t>
      </w:r>
    </w:p>
    <w:p w14:paraId="6BE2C070" w14:textId="5314262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zahájení zadávacího/výběrového řízení </w:t>
      </w:r>
      <w:r w:rsidR="00851CBC">
        <w:rPr>
          <w:rFonts w:ascii="Arial" w:hAnsi="Arial" w:cs="Arial"/>
        </w:rPr>
        <w:t>na</w:t>
      </w:r>
      <w:r w:rsidR="0002243A">
        <w:rPr>
          <w:rFonts w:ascii="Arial" w:hAnsi="Arial" w:cs="Arial"/>
        </w:rPr>
        <w:t xml:space="preserve"> činnost</w:t>
      </w:r>
      <w:r w:rsidR="00851CBC">
        <w:rPr>
          <w:rFonts w:ascii="Arial" w:hAnsi="Arial" w:cs="Arial"/>
        </w:rPr>
        <w:t>i</w:t>
      </w:r>
      <w:r w:rsidR="0002243A">
        <w:rPr>
          <w:rFonts w:ascii="Arial" w:hAnsi="Arial" w:cs="Arial"/>
        </w:rPr>
        <w:t xml:space="preserve">, </w:t>
      </w:r>
      <w:r w:rsidR="00851CBC">
        <w:rPr>
          <w:rFonts w:ascii="Arial" w:hAnsi="Arial" w:cs="Arial"/>
        </w:rPr>
        <w:t>k</w:t>
      </w:r>
      <w:r w:rsidR="0002243A">
        <w:rPr>
          <w:rFonts w:ascii="Arial" w:hAnsi="Arial" w:cs="Arial"/>
        </w:rPr>
        <w:t xml:space="preserve">teré </w:t>
      </w:r>
      <w:r w:rsidR="00851CBC">
        <w:rPr>
          <w:rFonts w:ascii="Arial" w:hAnsi="Arial" w:cs="Arial"/>
        </w:rPr>
        <w:t>by mohly p</w:t>
      </w:r>
      <w:r w:rsidR="0002243A">
        <w:rPr>
          <w:rFonts w:ascii="Arial" w:hAnsi="Arial" w:cs="Arial"/>
        </w:rPr>
        <w:t>ředstav</w:t>
      </w:r>
      <w:r w:rsidR="00851CBC">
        <w:rPr>
          <w:rFonts w:ascii="Arial" w:hAnsi="Arial" w:cs="Arial"/>
        </w:rPr>
        <w:t>ovat</w:t>
      </w:r>
      <w:r w:rsidR="0002243A">
        <w:rPr>
          <w:rFonts w:ascii="Arial" w:hAnsi="Arial" w:cs="Arial"/>
        </w:rPr>
        <w:t xml:space="preserve"> zahájení prací dle čl. 2 odst. 23 nařízení </w:t>
      </w:r>
      <w:r w:rsidR="00796404">
        <w:rPr>
          <w:rFonts w:ascii="Arial" w:hAnsi="Arial" w:cs="Arial"/>
        </w:rPr>
        <w:t xml:space="preserve">Komise (EU) </w:t>
      </w:r>
      <w:r w:rsidR="0002243A">
        <w:rPr>
          <w:rFonts w:ascii="Arial" w:hAnsi="Arial" w:cs="Arial"/>
        </w:rPr>
        <w:t>č. 651/2014</w:t>
      </w:r>
      <w:r w:rsidR="0002243A">
        <w:rPr>
          <w:rStyle w:val="Znakapoznpodarou"/>
          <w:rFonts w:ascii="Arial" w:hAnsi="Arial" w:cs="Arial"/>
        </w:rPr>
        <w:footnoteReference w:id="1"/>
      </w:r>
      <w:r w:rsidR="003E34DF">
        <w:rPr>
          <w:rFonts w:ascii="Arial" w:hAnsi="Arial" w:cs="Arial"/>
        </w:rPr>
        <w:t>,</w:t>
      </w:r>
      <w:r w:rsidR="0002243A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74FD6825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38913D2A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před podáním žádosti o podporu</w:t>
      </w:r>
    </w:p>
    <w:p w14:paraId="36E4597D" w14:textId="60A03FA4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Pokud uzavření smlouvy nepředstavuje závazek, v jehož důsledku se investice stává nezvratnou, pak zahájením prací, a tedy uzavřením smlouvy před podáním žádosti o podporu</w:t>
      </w:r>
      <w:r w:rsidR="002433DA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nedojde k porušení podmínky motivačního účinku. </w:t>
      </w:r>
    </w:p>
    <w:p w14:paraId="7149D31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lastRenderedPageBreak/>
        <w:t>K zahájení prací</w:t>
      </w:r>
      <w:r w:rsidRPr="00FA0D2A" w:rsidDel="00D748DB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383432E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590E8FC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a provedení přípravných prací podle takové smlouvy před podáním žádosti o podporu</w:t>
      </w:r>
    </w:p>
    <w:p w14:paraId="6346E010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Pokud předmětem plnění jedné smlouvy je realizace samotného projektu (investice) a zároveň přípravné práce, pak její uzavření před podáním žádosti o podporu je možné, pokud zadavatel je oprávněn před realizací projektu jednostranně od smlouvy bez sankcí odstoupit nebo účinnost části smlouvy, která upravuje realizaci projektu, je podmíněna obdržením podpory. </w:t>
      </w:r>
    </w:p>
    <w:p w14:paraId="310EC1D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E2E605F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Realizace přípravných prací</w:t>
      </w:r>
    </w:p>
    <w:p w14:paraId="7433D022" w14:textId="325061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Část plnění smlouvy na realizaci přípravných prací </w:t>
      </w:r>
      <w:r w:rsidR="00E01A52">
        <w:rPr>
          <w:rFonts w:ascii="Arial" w:hAnsi="Arial" w:cs="Arial"/>
        </w:rPr>
        <w:t xml:space="preserve">nebo plnění samostatné smlouvy na realizaci přípravných prací </w:t>
      </w:r>
      <w:r w:rsidRPr="00FA0D2A">
        <w:rPr>
          <w:rFonts w:ascii="Arial" w:hAnsi="Arial" w:cs="Arial"/>
        </w:rPr>
        <w:t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</w:t>
      </w:r>
      <w:r w:rsidR="00AE46F6" w:rsidRPr="00AE46F6">
        <w:rPr>
          <w:rFonts w:ascii="Arial" w:hAnsi="Arial" w:cs="Arial"/>
        </w:rPr>
        <w:t xml:space="preserve"> </w:t>
      </w:r>
      <w:r w:rsidR="00AE46F6">
        <w:rPr>
          <w:rFonts w:ascii="Arial" w:hAnsi="Arial" w:cs="Arial"/>
        </w:rPr>
        <w:t xml:space="preserve">nařízení </w:t>
      </w:r>
      <w:r w:rsidR="00FE7B51">
        <w:rPr>
          <w:rFonts w:ascii="Arial" w:hAnsi="Arial" w:cs="Arial"/>
        </w:rPr>
        <w:t xml:space="preserve">Komise (EU) </w:t>
      </w:r>
      <w:r w:rsidR="00AE46F6">
        <w:rPr>
          <w:rFonts w:ascii="Arial" w:hAnsi="Arial" w:cs="Arial"/>
        </w:rPr>
        <w:t>č. 651/2014</w:t>
      </w:r>
      <w:r w:rsidRPr="00FA0D2A">
        <w:rPr>
          <w:rFonts w:ascii="Arial" w:hAnsi="Arial" w:cs="Arial"/>
        </w:rPr>
        <w:t xml:space="preserve">. Přípravné práce a práce na realizaci samotného projektu by měly být ve smlouvě jasně odděleny. </w:t>
      </w:r>
    </w:p>
    <w:p w14:paraId="62348533" w14:textId="77777777" w:rsidR="00021E04" w:rsidRDefault="00021E04" w:rsidP="00FA0D2A">
      <w:pPr>
        <w:spacing w:after="0" w:line="240" w:lineRule="auto"/>
        <w:jc w:val="both"/>
        <w:rPr>
          <w:rFonts w:ascii="Arial" w:hAnsi="Arial" w:cs="Arial"/>
        </w:rPr>
      </w:pPr>
    </w:p>
    <w:p w14:paraId="02C4AE54" w14:textId="6BD19456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Činnosti, které je možné zahájit před podáním žádosti o podporu, ale výdaje na jejich úhradu nesmí být zahrnuty do způsobilých výdajů:</w:t>
      </w:r>
    </w:p>
    <w:p w14:paraId="4E60774D" w14:textId="77777777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projektová dokumentace;</w:t>
      </w:r>
    </w:p>
    <w:p w14:paraId="65CD93F3" w14:textId="50C5403A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nákup nemovitostí. </w:t>
      </w:r>
    </w:p>
    <w:p w14:paraId="2D464C5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CEB64B1" w14:textId="2010C79C" w:rsid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 podporu, splňuji podmínku motivačního účinku. </w:t>
      </w:r>
    </w:p>
    <w:p w14:paraId="6D82D84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6658E793" w14:textId="0E7622C7" w:rsidR="00F961B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Žadatel nemůže před podáním žádosti o podporu realizovat</w:t>
      </w:r>
      <w:r w:rsidR="00F961BA">
        <w:rPr>
          <w:rFonts w:ascii="Arial" w:hAnsi="Arial" w:cs="Arial"/>
        </w:rPr>
        <w:t xml:space="preserve"> následující činnosti:</w:t>
      </w:r>
    </w:p>
    <w:p w14:paraId="3BA51E2D" w14:textId="2D271839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961BA">
        <w:rPr>
          <w:rFonts w:ascii="Arial" w:hAnsi="Arial" w:cs="Arial"/>
        </w:rPr>
        <w:t>pořízení stavby formou výstavby a stavební úpravy</w:t>
      </w:r>
      <w:r w:rsidRPr="00FA0D2A">
        <w:rPr>
          <w:rFonts w:ascii="Arial" w:hAnsi="Arial" w:cs="Arial"/>
        </w:rPr>
        <w:t>;</w:t>
      </w:r>
    </w:p>
    <w:p w14:paraId="488371D3" w14:textId="1DC6325B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pořízení majetku</w:t>
      </w:r>
      <w:r w:rsidRPr="00FA0D2A">
        <w:rPr>
          <w:rFonts w:ascii="Arial" w:hAnsi="Arial" w:cs="Arial"/>
        </w:rPr>
        <w:t xml:space="preserve">. </w:t>
      </w:r>
    </w:p>
    <w:p w14:paraId="24EC48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1927CE7" w14:textId="77777777" w:rsidR="00C63CFC" w:rsidRPr="00FA0D2A" w:rsidRDefault="00C63CFC">
      <w:pPr>
        <w:rPr>
          <w:rFonts w:ascii="Arial" w:hAnsi="Arial" w:cs="Arial"/>
        </w:rPr>
      </w:pPr>
    </w:p>
    <w:sectPr w:rsidR="00C63CFC" w:rsidRPr="00FA0D2A" w:rsidSect="00B63EC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62DF" w14:textId="77777777" w:rsidR="008427FE" w:rsidRDefault="002A1898">
      <w:pPr>
        <w:spacing w:after="0" w:line="240" w:lineRule="auto"/>
      </w:pPr>
      <w:r>
        <w:separator/>
      </w:r>
    </w:p>
  </w:endnote>
  <w:endnote w:type="continuationSeparator" w:id="0">
    <w:p w14:paraId="5C0F8551" w14:textId="77777777" w:rsidR="008427FE" w:rsidRDefault="002A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48AEBA48" w14:textId="77777777" w:rsidR="00F818EC" w:rsidRDefault="006A5DE3">
        <w:pPr>
          <w:pStyle w:val="Zpat"/>
          <w:jc w:val="right"/>
        </w:pPr>
        <w:r w:rsidRPr="003B1634">
          <w:rPr>
            <w:rFonts w:ascii="Arial" w:hAnsi="Arial" w:cs="Arial"/>
            <w:sz w:val="20"/>
            <w:szCs w:val="20"/>
          </w:rPr>
          <w:fldChar w:fldCharType="begin"/>
        </w:r>
        <w:r w:rsidRPr="003B1634">
          <w:rPr>
            <w:rFonts w:ascii="Arial" w:hAnsi="Arial" w:cs="Arial"/>
            <w:sz w:val="20"/>
            <w:szCs w:val="20"/>
          </w:rPr>
          <w:instrText>PAGE   \* MERGEFORMAT</w:instrText>
        </w:r>
        <w:r w:rsidRPr="003B163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3B163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2D3D8F" w14:textId="77777777" w:rsidR="00F818EC" w:rsidRDefault="005449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999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355A60A" w14:textId="63EAE837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359C4C" w14:textId="77777777" w:rsidR="00236227" w:rsidRPr="00764C07" w:rsidRDefault="0054498A" w:rsidP="006062C2">
    <w:pPr>
      <w:pStyle w:val="Zpat"/>
      <w:rPr>
        <w:rFonts w:asciiTheme="majorHAnsi" w:hAnsiTheme="maj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8109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1C9284" w14:textId="4292F04E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DA829D" w14:textId="77777777" w:rsidR="006062C2" w:rsidRDefault="00544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F0DF4" w14:textId="77777777" w:rsidR="008427FE" w:rsidRDefault="002A1898">
      <w:pPr>
        <w:spacing w:after="0" w:line="240" w:lineRule="auto"/>
      </w:pPr>
      <w:r>
        <w:separator/>
      </w:r>
    </w:p>
  </w:footnote>
  <w:footnote w:type="continuationSeparator" w:id="0">
    <w:p w14:paraId="32FB372E" w14:textId="77777777" w:rsidR="008427FE" w:rsidRDefault="002A1898">
      <w:pPr>
        <w:spacing w:after="0" w:line="240" w:lineRule="auto"/>
      </w:pPr>
      <w:r>
        <w:continuationSeparator/>
      </w:r>
    </w:p>
  </w:footnote>
  <w:footnote w:id="1">
    <w:p w14:paraId="6D62205B" w14:textId="77777777" w:rsidR="0002243A" w:rsidRPr="0091538B" w:rsidRDefault="0002243A" w:rsidP="0002243A">
      <w:pPr>
        <w:pStyle w:val="Textpoznpodarou"/>
        <w:jc w:val="both"/>
        <w:rPr>
          <w:rFonts w:ascii="Arial" w:hAnsi="Arial" w:cs="Arial"/>
        </w:rPr>
      </w:pPr>
      <w:r w:rsidRPr="00E2383C">
        <w:rPr>
          <w:rStyle w:val="Znakapoznpodarou"/>
          <w:rFonts w:ascii="Arial" w:hAnsi="Arial" w:cs="Arial"/>
          <w:sz w:val="18"/>
          <w:szCs w:val="18"/>
        </w:rPr>
        <w:footnoteRef/>
      </w:r>
      <w:r w:rsidRPr="00E2383C">
        <w:rPr>
          <w:rFonts w:ascii="Arial" w:hAnsi="Arial" w:cs="Arial"/>
          <w:sz w:val="18"/>
          <w:szCs w:val="18"/>
        </w:rPr>
        <w:t xml:space="preserve"> „Zahájením prací“ se rozumí buď zahájení stavebních prací v rámci investice, nebo první právně vymahatelný závazek objednat zařízení či jiný závazek, v jehož důsledku se investice stává nezvratnou, podle toho, která událost nastane dříve.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A206" w14:textId="77777777" w:rsidR="00566C1A" w:rsidRDefault="0054498A" w:rsidP="008A17FD">
    <w:pPr>
      <w:pStyle w:val="Zhlav"/>
      <w:jc w:val="center"/>
    </w:pPr>
  </w:p>
  <w:p w14:paraId="64A896DF" w14:textId="77777777" w:rsidR="00566C1A" w:rsidRDefault="005449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CC64" w14:textId="77777777" w:rsidR="00566C1A" w:rsidRDefault="006A5DE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239FC1F" wp14:editId="258A05EF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8305" w14:textId="683781C8" w:rsidR="00014DAD" w:rsidRPr="00BD1413" w:rsidRDefault="0054498A" w:rsidP="00447180">
    <w:pPr>
      <w:pStyle w:val="Zhlav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D04" w14:textId="0C0D0BCA" w:rsidR="00A7480F" w:rsidRDefault="00200497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89FE00" wp14:editId="27E239FE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DD3"/>
    <w:multiLevelType w:val="hybridMultilevel"/>
    <w:tmpl w:val="0CCC659A"/>
    <w:lvl w:ilvl="0" w:tplc="EDF67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47433"/>
    <w:multiLevelType w:val="hybridMultilevel"/>
    <w:tmpl w:val="2E00FB24"/>
    <w:lvl w:ilvl="0" w:tplc="EB301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829876">
    <w:abstractNumId w:val="1"/>
  </w:num>
  <w:num w:numId="2" w16cid:durableId="1771313016">
    <w:abstractNumId w:val="2"/>
  </w:num>
  <w:num w:numId="3" w16cid:durableId="1514146829">
    <w:abstractNumId w:val="3"/>
  </w:num>
  <w:num w:numId="4" w16cid:durableId="55956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2A"/>
    <w:rsid w:val="00021E04"/>
    <w:rsid w:val="0002243A"/>
    <w:rsid w:val="000A422D"/>
    <w:rsid w:val="00113CB7"/>
    <w:rsid w:val="001F4EDA"/>
    <w:rsid w:val="00200497"/>
    <w:rsid w:val="00221116"/>
    <w:rsid w:val="002433DA"/>
    <w:rsid w:val="00257EE4"/>
    <w:rsid w:val="00273353"/>
    <w:rsid w:val="0029363E"/>
    <w:rsid w:val="002A1898"/>
    <w:rsid w:val="00302765"/>
    <w:rsid w:val="003E34DF"/>
    <w:rsid w:val="00447180"/>
    <w:rsid w:val="004D14E4"/>
    <w:rsid w:val="0054498A"/>
    <w:rsid w:val="006140ED"/>
    <w:rsid w:val="00614F0A"/>
    <w:rsid w:val="00664B38"/>
    <w:rsid w:val="006A53D8"/>
    <w:rsid w:val="006A5DE3"/>
    <w:rsid w:val="00796404"/>
    <w:rsid w:val="008427FE"/>
    <w:rsid w:val="00851CBC"/>
    <w:rsid w:val="008956ED"/>
    <w:rsid w:val="009E1532"/>
    <w:rsid w:val="00A526D5"/>
    <w:rsid w:val="00A56607"/>
    <w:rsid w:val="00AB448B"/>
    <w:rsid w:val="00AE46F6"/>
    <w:rsid w:val="00B45EF4"/>
    <w:rsid w:val="00B535F3"/>
    <w:rsid w:val="00BC514B"/>
    <w:rsid w:val="00BD1413"/>
    <w:rsid w:val="00BE37F8"/>
    <w:rsid w:val="00C63CFC"/>
    <w:rsid w:val="00E01A52"/>
    <w:rsid w:val="00E2383C"/>
    <w:rsid w:val="00E85AD9"/>
    <w:rsid w:val="00E96352"/>
    <w:rsid w:val="00ED7A0B"/>
    <w:rsid w:val="00EE5487"/>
    <w:rsid w:val="00F961BA"/>
    <w:rsid w:val="00FA0D2A"/>
    <w:rsid w:val="00FA6015"/>
    <w:rsid w:val="00FD14F9"/>
    <w:rsid w:val="00FE7B51"/>
    <w:rsid w:val="00F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ED7C1AB"/>
  <w15:chartTrackingRefBased/>
  <w15:docId w15:val="{22E95E2F-0318-443F-8A04-E5BC98A6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D2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D2A"/>
  </w:style>
  <w:style w:type="paragraph" w:styleId="Zpat">
    <w:name w:val="footer"/>
    <w:basedOn w:val="Normln"/>
    <w:link w:val="Zpat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D2A"/>
  </w:style>
  <w:style w:type="paragraph" w:customStyle="1" w:styleId="Zkladnodstavec">
    <w:name w:val="[Základní odstavec]"/>
    <w:basedOn w:val="Normln"/>
    <w:uiPriority w:val="99"/>
    <w:rsid w:val="00FA0D2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FA0D2A"/>
    <w:pPr>
      <w:ind w:left="720"/>
      <w:contextualSpacing/>
    </w:pPr>
  </w:style>
  <w:style w:type="character" w:styleId="slostrnky">
    <w:name w:val="page number"/>
    <w:basedOn w:val="Standardnpsmoodstavce"/>
    <w:uiPriority w:val="99"/>
    <w:rsid w:val="00FA0D2A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F4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4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4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4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4EDA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24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24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2243A"/>
    <w:rPr>
      <w:vertAlign w:val="superscript"/>
    </w:rPr>
  </w:style>
  <w:style w:type="paragraph" w:styleId="Revize">
    <w:name w:val="Revision"/>
    <w:hidden/>
    <w:uiPriority w:val="99"/>
    <w:semiHidden/>
    <w:rsid w:val="00614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722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Uhlíková Renata</cp:lastModifiedBy>
  <cp:revision>40</cp:revision>
  <dcterms:created xsi:type="dcterms:W3CDTF">2022-11-28T08:11:00Z</dcterms:created>
  <dcterms:modified xsi:type="dcterms:W3CDTF">2023-04-26T15:24:00Z</dcterms:modified>
</cp:coreProperties>
</file>